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drawing>
          <wp:inline xmlns:a="http://schemas.openxmlformats.org/drawingml/2006/main" xmlns:pic="http://schemas.openxmlformats.org/drawingml/2006/picture">
            <wp:extent cx="2331720" cy="2331720"/>
            <wp:docPr id="1" name="Picture 1"/>
            <wp:cNvGraphicFramePr>
              <a:graphicFrameLocks noChangeAspect="1"/>
            </wp:cNvGraphicFramePr>
            <a:graphic>
              <a:graphicData uri="http://schemas.openxmlformats.org/drawingml/2006/picture">
                <pic:pic>
                  <pic:nvPicPr>
                    <pic:cNvPr id="0" name="Audrie.png"/>
                    <pic:cNvPicPr/>
                  </pic:nvPicPr>
                  <pic:blipFill>
                    <a:blip r:embed="rId11"/>
                    <a:stretch>
                      <a:fillRect/>
                    </a:stretch>
                  </pic:blipFill>
                  <pic:spPr>
                    <a:xfrm>
                      <a:off x="0" y="0"/>
                      <a:ext cx="2331720" cy="2331720"/>
                    </a:xfrm>
                    <a:prstGeom prst="rect"/>
                  </pic:spPr>
                </pic:pic>
              </a:graphicData>
            </a:graphic>
          </wp:inline>
        </w:drawing>
      </w:r>
    </w:p>
    <w:p>
      <w:pPr>
        <w:spacing w:before="280" w:after="60"/>
        <w:jc w:val="center"/>
      </w:pPr>
      <w:r>
        <w:rPr>
          <w:rFonts w:ascii="Calibri" w:hAnsi="Calibri"/>
          <w:b/>
          <w:i w:val="0"/>
          <w:color w:val="5B3A1A"/>
          <w:sz w:val="48"/>
        </w:rPr>
        <w:t>Parent Handbook and Operational Policies</w:t>
      </w:r>
    </w:p>
    <w:p>
      <w:pPr>
        <w:spacing w:after="360"/>
        <w:jc w:val="center"/>
      </w:pPr>
      <w:r>
        <w:rPr>
          <w:rFonts w:ascii="Calibri" w:hAnsi="Calibri"/>
          <w:b w:val="0"/>
          <w:i/>
          <w:color w:val="6D7B67"/>
          <w:sz w:val="26"/>
        </w:rPr>
        <w:t>Christian in-home daycare policies for children 18 months through 13 years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500"/>
        <w:gridCol w:w="6860"/>
      </w:tblGrid>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Owner/Operator</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Audrie Gaucin</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Phone</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682-230-3325</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Address</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504 Cold Mountain Trail, Fort Worth, Texas 76131</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Email</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audriegaucin@outlook.com</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Prepared</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Prepared May 28, 2026</w:t>
            </w:r>
          </w:p>
        </w:tc>
      </w:tr>
    </w:tbl>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EEF2EA"/>
          </w:tcPr>
          <w:p>
            <w:pPr>
              <w:spacing w:after="0"/>
            </w:pPr>
            <w:r/>
            <w:r>
              <w:rPr>
                <w:rFonts w:ascii="Calibri" w:hAnsi="Calibri"/>
                <w:b/>
                <w:i w:val="0"/>
                <w:color w:val="5B3A1A"/>
                <w:sz w:val="19"/>
              </w:rPr>
              <w:t xml:space="preserve">Note: </w:t>
            </w:r>
            <w:r>
              <w:rPr>
                <w:rFonts w:ascii="Calibri" w:hAnsi="Calibri"/>
                <w:b w:val="0"/>
                <w:i w:val="0"/>
                <w:color w:val="232323"/>
                <w:sz w:val="19"/>
              </w:rPr>
              <w:t>Built for Texas Chapter 747 licensed/registered child-care homes using the September 2024 HHSC water-safety updates. Confirm final language with your CCR inspector before use.</w:t>
            </w:r>
          </w:p>
        </w:tc>
      </w:tr>
    </w:tbl>
    <w:p>
      <w:pPr>
        <w:spacing w:after="80"/>
      </w:pPr>
    </w:p>
    <w:p>
      <w:r>
        <w:br w:type="page"/>
      </w:r>
    </w:p>
    <w:p>
      <w:pPr>
        <w:pStyle w:val="Heading1"/>
        <w:spacing w:after="100"/>
      </w:pPr>
      <w:r>
        <w:rPr>
          <w:rFonts w:ascii="Calibri" w:hAnsi="Calibri"/>
          <w:b w:val="0"/>
          <w:i w:val="0"/>
          <w:color w:val="232323"/>
          <w:sz w:val="21"/>
        </w:rPr>
        <w:t>Regulatory Source Notes</w:t>
      </w:r>
    </w:p>
    <w:p>
      <w:pPr>
        <w:spacing w:after="100"/>
      </w:pPr>
      <w:r>
        <w:rPr>
          <w:rFonts w:ascii="Calibri" w:hAnsi="Calibri"/>
          <w:b w:val="0"/>
          <w:i w:val="0"/>
          <w:color w:val="232323"/>
          <w:sz w:val="21"/>
        </w:rPr>
        <w:t>This packet is a practical template set. It does not replace Chapter 747, legal advice, or written direction from Texas HHSC Child Care Regulation. Finalize all blanks and confirm local requirements before licensing inspection or parent distribution.</w:t>
      </w:r>
    </w:p>
    <w:p>
      <w:pPr>
        <w:spacing w:after="100"/>
      </w:pPr>
      <w:r>
        <w:rPr>
          <w:rFonts w:ascii="Calibri" w:hAnsi="Calibri"/>
          <w:b/>
          <w:i w:val="0"/>
          <w:color w:val="5B3A1A"/>
          <w:sz w:val="21"/>
        </w:rPr>
        <w:t>Key source links used for this packet:</w:t>
      </w:r>
    </w:p>
    <w:p>
      <w:pPr>
        <w:pStyle w:val="ListBullet"/>
      </w:pPr>
      <w:r>
        <w:rPr>
          <w:rFonts w:ascii="Calibri" w:hAnsi="Calibri"/>
          <w:b w:val="0"/>
          <w:i w:val="0"/>
          <w:color w:val="232323"/>
          <w:sz w:val="18"/>
        </w:rPr>
        <w:t>Texas HHSC Chapter 747 Minimum Standards PDF: https://www.hhs.texas.gov/sites/default/files/documents/chapter-747-homes.pdf</w:t>
      </w:r>
    </w:p>
    <w:p>
      <w:pPr>
        <w:pStyle w:val="ListBullet"/>
      </w:pPr>
      <w:r>
        <w:rPr>
          <w:rFonts w:ascii="Calibri" w:hAnsi="Calibri"/>
          <w:b w:val="0"/>
          <w:i w:val="0"/>
          <w:color w:val="232323"/>
          <w:sz w:val="18"/>
        </w:rPr>
        <w:t>HHSC September 2024 Chapter 747 Revision Memo: https://www.hhs.texas.gov/sites/default/files/documents/chapter-747-revision-memo-september-2024.pdf</w:t>
      </w:r>
    </w:p>
    <w:p>
      <w:pPr>
        <w:pStyle w:val="ListBullet"/>
      </w:pPr>
      <w:r>
        <w:rPr>
          <w:rFonts w:ascii="Calibri" w:hAnsi="Calibri"/>
          <w:b w:val="0"/>
          <w:i w:val="0"/>
          <w:color w:val="232323"/>
          <w:sz w:val="18"/>
        </w:rPr>
        <w:t>Texas Register adopted Chapter 747 water-safety rules: https://www.sos.texas.gov/texreg/archive/September132024/Adopted%20Rules/26.HEALTH%20AND%20HUMAN%20SERVICES.html</w:t>
      </w:r>
    </w:p>
    <w:p>
      <w:pPr>
        <w:pStyle w:val="ListBullet"/>
      </w:pPr>
      <w:r>
        <w:rPr>
          <w:rFonts w:ascii="Calibri" w:hAnsi="Calibri"/>
          <w:b w:val="0"/>
          <w:i w:val="0"/>
          <w:color w:val="232323"/>
          <w:sz w:val="18"/>
        </w:rPr>
        <w:t>26 TAC Section 747.123 definitions: https://regulations.justia.com/states/texas/title-26/part-1/chapter-747/subchapter-a/division-3/section-747-123/</w:t>
      </w:r>
    </w:p>
    <w:p>
      <w:pPr>
        <w:pStyle w:val="ListBullet"/>
      </w:pPr>
      <w:r>
        <w:rPr>
          <w:rFonts w:ascii="Calibri" w:hAnsi="Calibri"/>
          <w:b w:val="0"/>
          <w:i w:val="0"/>
          <w:color w:val="232323"/>
          <w:sz w:val="18"/>
        </w:rPr>
        <w:t>26 TAC Section 747.501 operational policies: https://regulations.justia.com/states/texas/title-26/part-1/chapter-747/subchapter-b/division-4/section-747-501/</w:t>
      </w:r>
    </w:p>
    <w:p>
      <w:pPr>
        <w:pStyle w:val="ListBullet"/>
      </w:pPr>
      <w:r>
        <w:rPr>
          <w:rFonts w:ascii="Calibri" w:hAnsi="Calibri"/>
          <w:b w:val="0"/>
          <w:i w:val="0"/>
          <w:color w:val="232323"/>
          <w:sz w:val="18"/>
        </w:rPr>
        <w:t>26 TAC Section 747.605 admission information: https://www.law.cornell.edu/regulations/texas/26-Tex-Admin-Code-SS-747-605</w:t>
      </w:r>
    </w:p>
    <w:p>
      <w:pPr>
        <w:pStyle w:val="ListBullet"/>
      </w:pPr>
      <w:r>
        <w:rPr>
          <w:rFonts w:ascii="Calibri" w:hAnsi="Calibri"/>
          <w:b w:val="0"/>
          <w:i w:val="0"/>
          <w:color w:val="232323"/>
          <w:sz w:val="18"/>
        </w:rPr>
        <w:t>26 TAC Section 747.521 parent rights: https://www.law.cornell.edu/regulations/texas/26-Tex-Admin-Code-SS-747-521</w:t>
      </w:r>
    </w:p>
    <w:p>
      <w:pPr>
        <w:pStyle w:val="ListBullet"/>
      </w:pPr>
      <w:r>
        <w:rPr>
          <w:rFonts w:ascii="Calibri" w:hAnsi="Calibri"/>
          <w:b w:val="0"/>
          <w:i w:val="0"/>
          <w:color w:val="232323"/>
          <w:sz w:val="18"/>
        </w:rPr>
        <w:t>26 TAC Section 747.5003 emergency preparedness: https://regulations.justia.com/states/texas/title-26/part-1/chapter-747/subchapter-w/division-2/section-747-5003/</w:t>
      </w:r>
    </w:p>
    <w:p>
      <w:pPr>
        <w:pStyle w:val="ListBullet"/>
      </w:pPr>
      <w:r>
        <w:rPr>
          <w:rFonts w:ascii="Calibri" w:hAnsi="Calibri"/>
          <w:b w:val="0"/>
          <w:i w:val="0"/>
          <w:color w:val="232323"/>
          <w:sz w:val="18"/>
        </w:rPr>
        <w:t>26 TAC Section 747.1301 caregiver orientation: https://regulations.justia.com/states/texas/title-26/part-1/chapter-747/subchapter-d/division-4/section-747-1301/</w:t>
      </w:r>
    </w:p>
    <w:p>
      <w:pPr>
        <w:pStyle w:val="ListBullet"/>
      </w:pPr>
      <w:r>
        <w:rPr>
          <w:rFonts w:ascii="Calibri" w:hAnsi="Calibri"/>
          <w:b w:val="0"/>
          <w:i w:val="0"/>
          <w:color w:val="232323"/>
          <w:sz w:val="18"/>
        </w:rPr>
        <w:t>Fort Worth child-care licensing contact page: https://www.fortworthtexas.gov/departments/environmental-services/consumer-health/day-care</w:t>
      </w:r>
    </w:p>
    <w:p>
      <w:r>
        <w:br w:type="page"/>
      </w:r>
    </w:p>
    <w:p>
      <w:pPr>
        <w:pStyle w:val="Heading1"/>
        <w:spacing w:after="100"/>
      </w:pPr>
      <w:r>
        <w:rPr>
          <w:rFonts w:ascii="Calibri" w:hAnsi="Calibri"/>
          <w:b w:val="0"/>
          <w:i w:val="0"/>
          <w:color w:val="232323"/>
          <w:sz w:val="21"/>
        </w:rPr>
        <w:t>Welcome</w:t>
      </w:r>
    </w:p>
    <w:p>
      <w:pPr>
        <w:spacing w:after="100"/>
      </w:pPr>
      <w:r>
        <w:rPr>
          <w:rFonts w:ascii="Calibri" w:hAnsi="Calibri"/>
          <w:b w:val="0"/>
          <w:i w:val="0"/>
          <w:color w:val="232323"/>
          <w:sz w:val="21"/>
        </w:rPr>
        <w:t>Wild Arrow Play School is a Christian in-home daycare led by Audrie Gaucin. The program is designed to provide warm, attentive care in a home setting while supporting each child's safety, development, and family routines.</w:t>
      </w:r>
    </w:p>
    <w:p>
      <w:pPr>
        <w:spacing w:after="100"/>
      </w:pPr>
      <w:r>
        <w:rPr>
          <w:rFonts w:ascii="Calibri" w:hAnsi="Calibri"/>
          <w:b w:val="0"/>
          <w:i w:val="0"/>
          <w:color w:val="232323"/>
          <w:sz w:val="21"/>
        </w:rPr>
        <w:t>Our daily environment may include prayer before meals, Bible stories, Christian songs, gratitude practices, and age-appropriate conversations about kindness, forgiveness, service, and God's love. Families may ask to review faith-based materials at any time.</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FBF4E4"/>
          </w:tcPr>
          <w:p>
            <w:pPr>
              <w:spacing w:after="0"/>
            </w:pPr>
            <w:r/>
            <w:r>
              <w:rPr>
                <w:rFonts w:ascii="Calibri" w:hAnsi="Calibri"/>
                <w:b/>
                <w:i w:val="0"/>
                <w:color w:val="5B3A1A"/>
                <w:sz w:val="19"/>
              </w:rPr>
              <w:t xml:space="preserve">Note: </w:t>
            </w:r>
            <w:r>
              <w:rPr>
                <w:rFonts w:ascii="Calibri" w:hAnsi="Calibri"/>
                <w:b w:val="0"/>
                <w:i w:val="0"/>
                <w:color w:val="232323"/>
                <w:sz w:val="19"/>
              </w:rPr>
              <w:t>Faith practices are offered in a caring and age-appropriate manner. Children are never punished, pressured, or shamed for a family's beliefs or level of participation.</w:t>
            </w:r>
          </w:p>
        </w:tc>
      </w:tr>
    </w:tbl>
    <w:p>
      <w:pPr>
        <w:spacing w:after="80"/>
      </w:pPr>
    </w:p>
    <w:p>
      <w:pPr>
        <w:pStyle w:val="Heading1"/>
        <w:spacing w:after="100"/>
      </w:pPr>
      <w:r>
        <w:rPr>
          <w:rFonts w:ascii="Calibri" w:hAnsi="Calibri"/>
          <w:b w:val="0"/>
          <w:i w:val="0"/>
          <w:color w:val="232323"/>
          <w:sz w:val="21"/>
        </w:rPr>
        <w:t>Program Snapshot</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850"/>
        <w:gridCol w:w="6510"/>
      </w:tblGrid>
      <w:tr>
        <w:trPr>
          <w:cantSplit/>
        </w:trPr>
        <w:tc>
          <w:tcPr>
            <w:tcW w:type="dxa" w:w="2850"/>
            <w:vAlign w:val="center"/>
            <w:tcMar>
              <w:top w:w="90" w:type="dxa"/>
              <w:start w:w="120" w:type="dxa"/>
              <w:bottom w:w="90" w:type="dxa"/>
              <w:end w:w="120" w:type="dxa"/>
            </w:tcMar>
            <w:shd w:fill="FBF4E4"/>
          </w:tcPr>
          <w:p>
            <w:pPr>
              <w:spacing w:after="0"/>
            </w:pPr>
            <w:r/>
            <w:r>
              <w:rPr>
                <w:rFonts w:ascii="Calibri" w:hAnsi="Calibri"/>
                <w:b/>
                <w:i w:val="0"/>
                <w:color w:val="5B3A1A"/>
                <w:sz w:val="20"/>
              </w:rPr>
              <w:t>Operation</w:t>
            </w:r>
          </w:p>
        </w:tc>
        <w:tc>
          <w:tcPr>
            <w:tcW w:type="dxa" w:w="6510"/>
            <w:vAlign w:val="center"/>
            <w:tcMar>
              <w:top w:w="90" w:type="dxa"/>
              <w:start w:w="120" w:type="dxa"/>
              <w:bottom w:w="90" w:type="dxa"/>
              <w:end w:w="120" w:type="dxa"/>
            </w:tcMar>
          </w:tcPr>
          <w:p>
            <w:pPr>
              <w:spacing w:after="0"/>
            </w:pPr>
            <w:r/>
            <w:r>
              <w:rPr>
                <w:rFonts w:ascii="Calibri" w:hAnsi="Calibri"/>
                <w:b w:val="0"/>
                <w:i w:val="0"/>
                <w:color w:val="232323"/>
                <w:sz w:val="20"/>
              </w:rPr>
              <w:t>Wild Arrow Play School</w:t>
            </w:r>
          </w:p>
        </w:tc>
      </w:tr>
      <w:tr>
        <w:trPr>
          <w:cantSplit/>
        </w:trPr>
        <w:tc>
          <w:tcPr>
            <w:tcW w:type="dxa" w:w="2850"/>
            <w:vAlign w:val="center"/>
            <w:tcMar>
              <w:top w:w="90" w:type="dxa"/>
              <w:start w:w="120" w:type="dxa"/>
              <w:bottom w:w="90" w:type="dxa"/>
              <w:end w:w="120" w:type="dxa"/>
            </w:tcMar>
            <w:shd w:fill="FBF4E4"/>
          </w:tcPr>
          <w:p>
            <w:pPr>
              <w:spacing w:after="0"/>
            </w:pPr>
            <w:r/>
            <w:r>
              <w:rPr>
                <w:rFonts w:ascii="Calibri" w:hAnsi="Calibri"/>
                <w:b/>
                <w:i w:val="0"/>
                <w:color w:val="5B3A1A"/>
                <w:sz w:val="20"/>
              </w:rPr>
              <w:t>Owner/Operator or Director</w:t>
            </w:r>
          </w:p>
        </w:tc>
        <w:tc>
          <w:tcPr>
            <w:tcW w:type="dxa" w:w="6510"/>
            <w:vAlign w:val="center"/>
            <w:tcMar>
              <w:top w:w="90" w:type="dxa"/>
              <w:start w:w="120" w:type="dxa"/>
              <w:bottom w:w="90" w:type="dxa"/>
              <w:end w:w="120" w:type="dxa"/>
            </w:tcMar>
          </w:tcPr>
          <w:p>
            <w:pPr>
              <w:spacing w:after="0"/>
            </w:pPr>
            <w:r/>
            <w:r>
              <w:rPr>
                <w:rFonts w:ascii="Calibri" w:hAnsi="Calibri"/>
                <w:b w:val="0"/>
                <w:i w:val="0"/>
                <w:color w:val="232323"/>
                <w:sz w:val="20"/>
              </w:rPr>
              <w:t>Audrie Gaucin</w:t>
            </w:r>
          </w:p>
        </w:tc>
      </w:tr>
      <w:tr>
        <w:trPr>
          <w:cantSplit/>
        </w:trPr>
        <w:tc>
          <w:tcPr>
            <w:tcW w:type="dxa" w:w="2850"/>
            <w:vAlign w:val="center"/>
            <w:tcMar>
              <w:top w:w="90" w:type="dxa"/>
              <w:start w:w="120" w:type="dxa"/>
              <w:bottom w:w="90" w:type="dxa"/>
              <w:end w:w="120" w:type="dxa"/>
            </w:tcMar>
            <w:shd w:fill="FBF4E4"/>
          </w:tcPr>
          <w:p>
            <w:pPr>
              <w:spacing w:after="0"/>
            </w:pPr>
            <w:r/>
            <w:r>
              <w:rPr>
                <w:rFonts w:ascii="Calibri" w:hAnsi="Calibri"/>
                <w:b/>
                <w:i w:val="0"/>
                <w:color w:val="5B3A1A"/>
                <w:sz w:val="20"/>
              </w:rPr>
              <w:t>Location</w:t>
            </w:r>
          </w:p>
        </w:tc>
        <w:tc>
          <w:tcPr>
            <w:tcW w:type="dxa" w:w="6510"/>
            <w:vAlign w:val="center"/>
            <w:tcMar>
              <w:top w:w="90" w:type="dxa"/>
              <w:start w:w="120" w:type="dxa"/>
              <w:bottom w:w="90" w:type="dxa"/>
              <w:end w:w="120" w:type="dxa"/>
            </w:tcMar>
          </w:tcPr>
          <w:p>
            <w:pPr>
              <w:spacing w:after="0"/>
            </w:pPr>
            <w:r/>
            <w:r>
              <w:rPr>
                <w:rFonts w:ascii="Calibri" w:hAnsi="Calibri"/>
                <w:b w:val="0"/>
                <w:i w:val="0"/>
                <w:color w:val="232323"/>
                <w:sz w:val="20"/>
              </w:rPr>
              <w:t>504 Cold Mountain Trail, Fort Worth, Texas 76131</w:t>
            </w:r>
          </w:p>
        </w:tc>
      </w:tr>
      <w:tr>
        <w:trPr>
          <w:cantSplit/>
        </w:trPr>
        <w:tc>
          <w:tcPr>
            <w:tcW w:type="dxa" w:w="2850"/>
            <w:vAlign w:val="center"/>
            <w:tcMar>
              <w:top w:w="90" w:type="dxa"/>
              <w:start w:w="120" w:type="dxa"/>
              <w:bottom w:w="90" w:type="dxa"/>
              <w:end w:w="120" w:type="dxa"/>
            </w:tcMar>
            <w:shd w:fill="FBF4E4"/>
          </w:tcPr>
          <w:p>
            <w:pPr>
              <w:spacing w:after="0"/>
            </w:pPr>
            <w:r/>
            <w:r>
              <w:rPr>
                <w:rFonts w:ascii="Calibri" w:hAnsi="Calibri"/>
                <w:b/>
                <w:i w:val="0"/>
                <w:color w:val="5B3A1A"/>
                <w:sz w:val="20"/>
              </w:rPr>
              <w:t>Contact</w:t>
            </w:r>
          </w:p>
        </w:tc>
        <w:tc>
          <w:tcPr>
            <w:tcW w:type="dxa" w:w="6510"/>
            <w:vAlign w:val="center"/>
            <w:tcMar>
              <w:top w:w="90" w:type="dxa"/>
              <w:start w:w="120" w:type="dxa"/>
              <w:bottom w:w="90" w:type="dxa"/>
              <w:end w:w="120" w:type="dxa"/>
            </w:tcMar>
          </w:tcPr>
          <w:p>
            <w:pPr>
              <w:spacing w:after="0"/>
            </w:pPr>
            <w:r/>
            <w:r>
              <w:rPr>
                <w:rFonts w:ascii="Calibri" w:hAnsi="Calibri"/>
                <w:b w:val="0"/>
                <w:i w:val="0"/>
                <w:color w:val="232323"/>
                <w:sz w:val="20"/>
              </w:rPr>
              <w:t>682-230-3325 | audriegaucin@outlook.com</w:t>
            </w:r>
          </w:p>
        </w:tc>
      </w:tr>
      <w:tr>
        <w:trPr>
          <w:cantSplit/>
        </w:trPr>
        <w:tc>
          <w:tcPr>
            <w:tcW w:type="dxa" w:w="2850"/>
            <w:vAlign w:val="center"/>
            <w:tcMar>
              <w:top w:w="90" w:type="dxa"/>
              <w:start w:w="120" w:type="dxa"/>
              <w:bottom w:w="90" w:type="dxa"/>
              <w:end w:w="120" w:type="dxa"/>
            </w:tcMar>
            <w:shd w:fill="FBF4E4"/>
          </w:tcPr>
          <w:p>
            <w:pPr>
              <w:spacing w:after="0"/>
            </w:pPr>
            <w:r/>
            <w:r>
              <w:rPr>
                <w:rFonts w:ascii="Calibri" w:hAnsi="Calibri"/>
                <w:b/>
                <w:i w:val="0"/>
                <w:color w:val="5B3A1A"/>
                <w:sz w:val="20"/>
              </w:rPr>
              <w:t>License/Registration Type</w:t>
            </w:r>
          </w:p>
        </w:tc>
        <w:tc>
          <w:tcPr>
            <w:tcW w:type="dxa" w:w="6510"/>
            <w:vAlign w:val="center"/>
            <w:tcMar>
              <w:top w:w="90" w:type="dxa"/>
              <w:start w:w="120" w:type="dxa"/>
              <w:bottom w:w="90" w:type="dxa"/>
              <w:end w:w="120" w:type="dxa"/>
            </w:tcMar>
          </w:tcPr>
          <w:p>
            <w:pPr>
              <w:spacing w:after="0"/>
            </w:pPr>
            <w:r/>
            <w:r>
              <w:rPr>
                <w:rFonts w:ascii="Calibri" w:hAnsi="Calibri"/>
                <w:b w:val="0"/>
                <w:i w:val="0"/>
                <w:color w:val="232323"/>
                <w:sz w:val="20"/>
              </w:rPr>
              <w:t>[ ] Registered Child-Care Home  [ ] Licensed Child-Care Home  Permit no.: __________</w:t>
            </w:r>
          </w:p>
        </w:tc>
      </w:tr>
      <w:tr>
        <w:trPr>
          <w:cantSplit/>
        </w:trPr>
        <w:tc>
          <w:tcPr>
            <w:tcW w:type="dxa" w:w="2850"/>
            <w:vAlign w:val="center"/>
            <w:tcMar>
              <w:top w:w="90" w:type="dxa"/>
              <w:start w:w="120" w:type="dxa"/>
              <w:bottom w:w="90" w:type="dxa"/>
              <w:end w:w="120" w:type="dxa"/>
            </w:tcMar>
            <w:shd w:fill="FBF4E4"/>
          </w:tcPr>
          <w:p>
            <w:pPr>
              <w:spacing w:after="0"/>
            </w:pPr>
            <w:r/>
            <w:r>
              <w:rPr>
                <w:rFonts w:ascii="Calibri" w:hAnsi="Calibri"/>
                <w:b/>
                <w:i w:val="0"/>
                <w:color w:val="5B3A1A"/>
                <w:sz w:val="20"/>
              </w:rPr>
              <w:t>Ages Served</w:t>
            </w:r>
          </w:p>
        </w:tc>
        <w:tc>
          <w:tcPr>
            <w:tcW w:type="dxa" w:w="6510"/>
            <w:vAlign w:val="center"/>
            <w:tcMar>
              <w:top w:w="90" w:type="dxa"/>
              <w:start w:w="120" w:type="dxa"/>
              <w:bottom w:w="90" w:type="dxa"/>
              <w:end w:w="120" w:type="dxa"/>
            </w:tcMar>
          </w:tcPr>
          <w:p>
            <w:pPr>
              <w:spacing w:after="0"/>
            </w:pPr>
            <w:r/>
            <w:r>
              <w:rPr>
                <w:rFonts w:ascii="Calibri" w:hAnsi="Calibri"/>
                <w:b w:val="0"/>
                <w:i w:val="0"/>
                <w:color w:val="232323"/>
                <w:sz w:val="20"/>
              </w:rPr>
              <w:t>18 months through 13 years, subject to permit, ratios, and provider capacity</w:t>
            </w:r>
          </w:p>
        </w:tc>
      </w:tr>
      <w:tr>
        <w:trPr>
          <w:cantSplit/>
        </w:trPr>
        <w:tc>
          <w:tcPr>
            <w:tcW w:type="dxa" w:w="2850"/>
            <w:vAlign w:val="center"/>
            <w:tcMar>
              <w:top w:w="90" w:type="dxa"/>
              <w:start w:w="120" w:type="dxa"/>
              <w:bottom w:w="90" w:type="dxa"/>
              <w:end w:w="120" w:type="dxa"/>
            </w:tcMar>
            <w:shd w:fill="FBF4E4"/>
          </w:tcPr>
          <w:p>
            <w:pPr>
              <w:spacing w:after="0"/>
            </w:pPr>
            <w:r/>
            <w:r>
              <w:rPr>
                <w:rFonts w:ascii="Calibri" w:hAnsi="Calibri"/>
                <w:b/>
                <w:i w:val="0"/>
                <w:color w:val="5B3A1A"/>
                <w:sz w:val="20"/>
              </w:rPr>
              <w:t>Regular Hours</w:t>
            </w:r>
          </w:p>
        </w:tc>
        <w:tc>
          <w:tcPr>
            <w:tcW w:type="dxa" w:w="6510"/>
            <w:vAlign w:val="center"/>
            <w:tcMar>
              <w:top w:w="90" w:type="dxa"/>
              <w:start w:w="120" w:type="dxa"/>
              <w:bottom w:w="90" w:type="dxa"/>
              <w:end w:w="120" w:type="dxa"/>
            </w:tcMar>
          </w:tcPr>
          <w:p>
            <w:pPr>
              <w:spacing w:after="0"/>
            </w:pPr>
            <w:r/>
            <w:r>
              <w:rPr>
                <w:rFonts w:ascii="Calibri" w:hAnsi="Calibri"/>
                <w:b w:val="0"/>
                <w:i w:val="0"/>
                <w:color w:val="232323"/>
                <w:sz w:val="20"/>
              </w:rPr>
              <w:t>__________ to __________, Monday through Friday unless otherwise agreed in writing</w:t>
            </w:r>
          </w:p>
        </w:tc>
      </w:tr>
      <w:tr>
        <w:trPr>
          <w:cantSplit/>
        </w:trPr>
        <w:tc>
          <w:tcPr>
            <w:tcW w:type="dxa" w:w="2850"/>
            <w:vAlign w:val="center"/>
            <w:tcMar>
              <w:top w:w="90" w:type="dxa"/>
              <w:start w:w="120" w:type="dxa"/>
              <w:bottom w:w="90" w:type="dxa"/>
              <w:end w:w="120" w:type="dxa"/>
            </w:tcMar>
            <w:shd w:fill="FBF4E4"/>
          </w:tcPr>
          <w:p>
            <w:pPr>
              <w:spacing w:after="0"/>
            </w:pPr>
            <w:r/>
            <w:r>
              <w:rPr>
                <w:rFonts w:ascii="Calibri" w:hAnsi="Calibri"/>
                <w:b/>
                <w:i w:val="0"/>
                <w:color w:val="5B3A1A"/>
                <w:sz w:val="20"/>
              </w:rPr>
              <w:t>Maximum Capacity</w:t>
            </w:r>
          </w:p>
        </w:tc>
        <w:tc>
          <w:tcPr>
            <w:tcW w:type="dxa" w:w="6510"/>
            <w:vAlign w:val="center"/>
            <w:tcMar>
              <w:top w:w="90" w:type="dxa"/>
              <w:start w:w="120" w:type="dxa"/>
              <w:bottom w:w="90" w:type="dxa"/>
              <w:end w:w="120" w:type="dxa"/>
            </w:tcMar>
          </w:tcPr>
          <w:p>
            <w:pPr>
              <w:spacing w:after="0"/>
            </w:pPr>
            <w:r/>
            <w:r>
              <w:rPr>
                <w:rFonts w:ascii="Calibri" w:hAnsi="Calibri"/>
                <w:b w:val="0"/>
                <w:i w:val="0"/>
                <w:color w:val="232323"/>
                <w:sz w:val="20"/>
              </w:rPr>
              <w:t>As allowed by Texas Chapter 747 and the operation's permit</w:t>
            </w:r>
          </w:p>
        </w:tc>
      </w:tr>
    </w:tbl>
    <w:p>
      <w:pPr>
        <w:pStyle w:val="Heading1"/>
        <w:spacing w:after="100"/>
      </w:pPr>
      <w:r>
        <w:rPr>
          <w:rFonts w:ascii="Calibri" w:hAnsi="Calibri"/>
          <w:b w:val="0"/>
          <w:i w:val="0"/>
          <w:color w:val="232323"/>
          <w:sz w:val="21"/>
        </w:rPr>
        <w:t>Required Operational Policies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FBF4E4"/>
          </w:tcPr>
          <w:p>
            <w:pPr>
              <w:spacing w:after="0"/>
            </w:pPr>
            <w:r/>
            <w:r>
              <w:rPr>
                <w:rFonts w:ascii="Calibri" w:hAnsi="Calibri"/>
                <w:b/>
                <w:i w:val="0"/>
                <w:color w:val="5B3A1A"/>
                <w:sz w:val="19"/>
              </w:rPr>
              <w:t xml:space="preserve">Note: </w:t>
            </w:r>
            <w:r>
              <w:rPr>
                <w:rFonts w:ascii="Calibri" w:hAnsi="Calibri"/>
                <w:b w:val="0"/>
                <w:i w:val="0"/>
                <w:color w:val="232323"/>
                <w:sz w:val="19"/>
              </w:rPr>
              <w:t>These policies are drafted to cover the policy topics listed in 26 TAC Section 747.501. Complete all blanks and remove any optional section that does not apply before distributing to parents.</w:t>
            </w:r>
          </w:p>
        </w:tc>
      </w:tr>
    </w:tbl>
    <w:p>
      <w:pPr>
        <w:spacing w:after="80"/>
      </w:pPr>
    </w:p>
    <w:p>
      <w:pPr>
        <w:pStyle w:val="Heading2"/>
        <w:spacing w:after="100"/>
      </w:pPr>
      <w:r>
        <w:rPr>
          <w:rFonts w:ascii="Calibri" w:hAnsi="Calibri"/>
          <w:b w:val="0"/>
          <w:i w:val="0"/>
          <w:color w:val="232323"/>
          <w:sz w:val="21"/>
        </w:rPr>
        <w:t>Release of Children</w:t>
      </w:r>
    </w:p>
    <w:p>
      <w:pPr>
        <w:pStyle w:val="ListBullet"/>
      </w:pPr>
      <w:r>
        <w:rPr>
          <w:rFonts w:ascii="Calibri" w:hAnsi="Calibri"/>
          <w:b w:val="0"/>
          <w:i w:val="0"/>
          <w:color w:val="232323"/>
          <w:sz w:val="21"/>
        </w:rPr>
        <w:t>Children are released only to a parent, legal guardian, or authorized person listed in the child's enrollment record.</w:t>
      </w:r>
    </w:p>
    <w:p>
      <w:pPr>
        <w:pStyle w:val="ListBullet"/>
      </w:pPr>
      <w:r>
        <w:rPr>
          <w:rFonts w:ascii="Calibri" w:hAnsi="Calibri"/>
          <w:b w:val="0"/>
          <w:i w:val="0"/>
          <w:color w:val="232323"/>
          <w:sz w:val="21"/>
        </w:rPr>
        <w:t>Photo identification may be required before release to any person not personally known to the provider.</w:t>
      </w:r>
    </w:p>
    <w:p>
      <w:pPr>
        <w:pStyle w:val="ListBullet"/>
      </w:pPr>
      <w:r>
        <w:rPr>
          <w:rFonts w:ascii="Calibri" w:hAnsi="Calibri"/>
          <w:b w:val="0"/>
          <w:i w:val="0"/>
          <w:color w:val="232323"/>
          <w:sz w:val="21"/>
        </w:rPr>
        <w:t>The provider will follow a valid court order signed by a judge that limits a parent's access or removal rights when a copy is on file.</w:t>
      </w:r>
    </w:p>
    <w:p>
      <w:pPr>
        <w:pStyle w:val="ListBullet"/>
      </w:pPr>
      <w:r>
        <w:rPr>
          <w:rFonts w:ascii="Calibri" w:hAnsi="Calibri"/>
          <w:b w:val="0"/>
          <w:i w:val="0"/>
          <w:color w:val="232323"/>
          <w:sz w:val="21"/>
        </w:rPr>
        <w:t>Parents must sign children in and out each day with accurate arrival and departure times.</w:t>
      </w:r>
    </w:p>
    <w:p>
      <w:pPr>
        <w:pStyle w:val="Heading2"/>
        <w:spacing w:after="100"/>
      </w:pPr>
      <w:r>
        <w:rPr>
          <w:rFonts w:ascii="Calibri" w:hAnsi="Calibri"/>
          <w:b w:val="0"/>
          <w:i w:val="0"/>
          <w:color w:val="232323"/>
          <w:sz w:val="21"/>
        </w:rPr>
        <w:t>Illness and Exclusion</w:t>
      </w:r>
    </w:p>
    <w:p>
      <w:pPr>
        <w:pStyle w:val="ListBullet"/>
      </w:pPr>
      <w:r>
        <w:rPr>
          <w:rFonts w:ascii="Calibri" w:hAnsi="Calibri"/>
          <w:b w:val="0"/>
          <w:i w:val="0"/>
          <w:color w:val="232323"/>
          <w:sz w:val="21"/>
        </w:rPr>
        <w:t>A child who appears ill at arrival or during care may receive a health check and may be excluded when symptoms indicate the child cannot safely participate or may expose others.</w:t>
      </w:r>
    </w:p>
    <w:p>
      <w:pPr>
        <w:pStyle w:val="ListBullet"/>
      </w:pPr>
      <w:r>
        <w:rPr>
          <w:rFonts w:ascii="Calibri" w:hAnsi="Calibri"/>
          <w:b w:val="0"/>
          <w:i w:val="0"/>
          <w:color w:val="232323"/>
          <w:sz w:val="21"/>
        </w:rPr>
        <w:t>Parents will be contacted promptly for fever, vomiting, diarrhea, uncontrolled coughing, suspected contagious illness, unexplained rash, or symptoms requiring medical evaluation.</w:t>
      </w:r>
    </w:p>
    <w:p>
      <w:pPr>
        <w:pStyle w:val="ListBullet"/>
      </w:pPr>
      <w:r>
        <w:rPr>
          <w:rFonts w:ascii="Calibri" w:hAnsi="Calibri"/>
          <w:b w:val="0"/>
          <w:i w:val="0"/>
          <w:color w:val="232323"/>
          <w:sz w:val="21"/>
        </w:rPr>
        <w:t>A child may return when symptoms have improved, exclusion criteria are resolved, and any medical clearance requested by the provider has been received.</w:t>
      </w:r>
    </w:p>
    <w:p>
      <w:pPr>
        <w:pStyle w:val="ListBullet"/>
      </w:pPr>
      <w:r>
        <w:rPr>
          <w:rFonts w:ascii="Calibri" w:hAnsi="Calibri"/>
          <w:b w:val="0"/>
          <w:i w:val="0"/>
          <w:color w:val="232323"/>
          <w:sz w:val="21"/>
        </w:rPr>
        <w:t>The provider may update illness exclusion practices to follow current public health guidance.</w:t>
      </w:r>
    </w:p>
    <w:p>
      <w:pPr>
        <w:pStyle w:val="Heading2"/>
        <w:spacing w:after="100"/>
      </w:pPr>
      <w:r>
        <w:rPr>
          <w:rFonts w:ascii="Calibri" w:hAnsi="Calibri"/>
          <w:b w:val="0"/>
          <w:i w:val="0"/>
          <w:color w:val="232323"/>
          <w:sz w:val="21"/>
        </w:rPr>
        <w:t>Medication</w:t>
      </w:r>
    </w:p>
    <w:p>
      <w:pPr>
        <w:pStyle w:val="ListBullet"/>
      </w:pPr>
      <w:r>
        <w:rPr>
          <w:rFonts w:ascii="Calibri" w:hAnsi="Calibri"/>
          <w:b w:val="0"/>
          <w:i w:val="0"/>
          <w:color w:val="232323"/>
          <w:sz w:val="21"/>
        </w:rPr>
        <w:t>Medication is administered only when parent authorization is documented in writing, electronically in savable form, or by telephone for a single dose.</w:t>
      </w:r>
    </w:p>
    <w:p>
      <w:pPr>
        <w:pStyle w:val="ListBullet"/>
      </w:pPr>
      <w:r>
        <w:rPr>
          <w:rFonts w:ascii="Calibri" w:hAnsi="Calibri"/>
          <w:b w:val="0"/>
          <w:i w:val="0"/>
          <w:color w:val="232323"/>
          <w:sz w:val="21"/>
        </w:rPr>
        <w:t>Medication will not be administered above label instructions or the directions of the child's health-care professional.</w:t>
      </w:r>
    </w:p>
    <w:p>
      <w:pPr>
        <w:pStyle w:val="ListBullet"/>
      </w:pPr>
      <w:r>
        <w:rPr>
          <w:rFonts w:ascii="Calibri" w:hAnsi="Calibri"/>
          <w:b w:val="0"/>
          <w:i w:val="0"/>
          <w:color w:val="232323"/>
          <w:sz w:val="21"/>
        </w:rPr>
        <w:t>Medication authorization expires one year after the authorization date unless a shorter period is stated.</w:t>
      </w:r>
    </w:p>
    <w:p>
      <w:pPr>
        <w:pStyle w:val="ListBullet"/>
      </w:pPr>
      <w:r>
        <w:rPr>
          <w:rFonts w:ascii="Calibri" w:hAnsi="Calibri"/>
          <w:b w:val="0"/>
          <w:i w:val="0"/>
          <w:color w:val="232323"/>
          <w:sz w:val="21"/>
        </w:rPr>
        <w:t>Medication is stored out of reach of children or in locked storage and documented on a medication administration record.</w:t>
      </w:r>
    </w:p>
    <w:p>
      <w:pPr>
        <w:pStyle w:val="Heading2"/>
        <w:spacing w:after="100"/>
      </w:pPr>
      <w:r>
        <w:rPr>
          <w:rFonts w:ascii="Calibri" w:hAnsi="Calibri"/>
          <w:b w:val="0"/>
          <w:i w:val="0"/>
          <w:color w:val="232323"/>
          <w:sz w:val="21"/>
        </w:rPr>
        <w:t>Medical Emergencies</w:t>
      </w:r>
    </w:p>
    <w:p>
      <w:pPr>
        <w:pStyle w:val="ListBullet"/>
      </w:pPr>
      <w:r>
        <w:rPr>
          <w:rFonts w:ascii="Calibri" w:hAnsi="Calibri"/>
          <w:b w:val="0"/>
          <w:i w:val="0"/>
          <w:color w:val="232323"/>
          <w:sz w:val="21"/>
        </w:rPr>
        <w:t>The provider will call 911 or seek emergency medical assistance when a child has a serious injury, difficulty breathing, severe allergic reaction, seizure, loss of consciousness, suspected poisoning, or another condition that may threaten life or safety.</w:t>
      </w:r>
    </w:p>
    <w:p>
      <w:pPr>
        <w:pStyle w:val="ListBullet"/>
      </w:pPr>
      <w:r>
        <w:rPr>
          <w:rFonts w:ascii="Calibri" w:hAnsi="Calibri"/>
          <w:b w:val="0"/>
          <w:i w:val="0"/>
          <w:color w:val="232323"/>
          <w:sz w:val="21"/>
        </w:rPr>
        <w:t>Parents or emergency contacts will be contacted as soon as practical after urgent care is initiated.</w:t>
      </w:r>
    </w:p>
    <w:p>
      <w:pPr>
        <w:pStyle w:val="ListBullet"/>
      </w:pPr>
      <w:r>
        <w:rPr>
          <w:rFonts w:ascii="Calibri" w:hAnsi="Calibri"/>
          <w:b w:val="0"/>
          <w:i w:val="0"/>
          <w:color w:val="232323"/>
          <w:sz w:val="21"/>
        </w:rPr>
        <w:t>Each child must have current emergency medical authorization and emergency contact information on file.</w:t>
      </w:r>
    </w:p>
    <w:p>
      <w:pPr>
        <w:pStyle w:val="Heading2"/>
        <w:spacing w:after="100"/>
      </w:pPr>
      <w:r>
        <w:rPr>
          <w:rFonts w:ascii="Calibri" w:hAnsi="Calibri"/>
          <w:b w:val="0"/>
          <w:i w:val="0"/>
          <w:color w:val="232323"/>
          <w:sz w:val="21"/>
        </w:rPr>
        <w:t>Discipline and Guidance</w:t>
      </w:r>
    </w:p>
    <w:p>
      <w:pPr>
        <w:pStyle w:val="ListBullet"/>
      </w:pPr>
      <w:r>
        <w:rPr>
          <w:rFonts w:ascii="Calibri" w:hAnsi="Calibri"/>
          <w:b w:val="0"/>
          <w:i w:val="0"/>
          <w:color w:val="232323"/>
          <w:sz w:val="21"/>
        </w:rPr>
        <w:t>Guidance will be individualized, consistent, age-appropriate, and focused on safety, self-control, problem solving, and repair.</w:t>
      </w:r>
    </w:p>
    <w:p>
      <w:pPr>
        <w:pStyle w:val="ListBullet"/>
      </w:pPr>
      <w:r>
        <w:rPr>
          <w:rFonts w:ascii="Calibri" w:hAnsi="Calibri"/>
          <w:b w:val="0"/>
          <w:i w:val="0"/>
          <w:color w:val="232323"/>
          <w:sz w:val="21"/>
        </w:rPr>
        <w:t>The program may use redirection, clear choices, calm reminders, natural consequences, and brief supervised separation when appropriate.</w:t>
      </w:r>
    </w:p>
    <w:p>
      <w:pPr>
        <w:pStyle w:val="ListBullet"/>
      </w:pPr>
      <w:r>
        <w:rPr>
          <w:rFonts w:ascii="Calibri" w:hAnsi="Calibri"/>
          <w:b w:val="0"/>
          <w:i w:val="0"/>
          <w:color w:val="232323"/>
          <w:sz w:val="21"/>
        </w:rPr>
        <w:t>The program prohibits corporal punishment, threats of corporal punishment, punishment tied to food, naps, or toilet training, humiliating or yelling at a child, harsh or profane language, locked or dark rooms, restrictive devices for time out, and long periods of required silence or inactivity.</w:t>
      </w:r>
    </w:p>
    <w:p>
      <w:pPr>
        <w:pStyle w:val="Heading2"/>
        <w:spacing w:after="100"/>
      </w:pPr>
      <w:r>
        <w:rPr>
          <w:rFonts w:ascii="Calibri" w:hAnsi="Calibri"/>
          <w:b w:val="0"/>
          <w:i w:val="0"/>
          <w:color w:val="232323"/>
          <w:sz w:val="21"/>
        </w:rPr>
        <w:t>Age Range and Nap/Rest Safety</w:t>
      </w:r>
    </w:p>
    <w:p>
      <w:pPr>
        <w:pStyle w:val="ListBullet"/>
      </w:pPr>
      <w:r>
        <w:rPr>
          <w:rFonts w:ascii="Calibri" w:hAnsi="Calibri"/>
          <w:b w:val="0"/>
          <w:i w:val="0"/>
          <w:color w:val="232323"/>
          <w:sz w:val="21"/>
        </w:rPr>
        <w:t>The program accepts children 18 months through 13 years. Children younger than 18 months are not enrolled.</w:t>
      </w:r>
    </w:p>
    <w:p>
      <w:pPr>
        <w:pStyle w:val="ListBullet"/>
      </w:pPr>
      <w:r>
        <w:rPr>
          <w:rFonts w:ascii="Calibri" w:hAnsi="Calibri"/>
          <w:b w:val="0"/>
          <w:i w:val="0"/>
          <w:color w:val="232323"/>
          <w:sz w:val="21"/>
        </w:rPr>
        <w:t>Children 18 through 23 months are toddlers under Chapter 747, so supervision, activities, equipment, meals, diapering/toileting support, and rest routines will be matched to each child's age and development.</w:t>
      </w:r>
    </w:p>
    <w:p>
      <w:pPr>
        <w:pStyle w:val="ListBullet"/>
      </w:pPr>
      <w:r>
        <w:rPr>
          <w:rFonts w:ascii="Calibri" w:hAnsi="Calibri"/>
          <w:b w:val="0"/>
          <w:i w:val="0"/>
          <w:color w:val="232323"/>
          <w:sz w:val="21"/>
        </w:rPr>
        <w:t>Children will rest only in safe, age-appropriate sleep or rest areas and will not sleep in restrictive devices unless medically necessary with required documentation.</w:t>
      </w:r>
    </w:p>
    <w:p>
      <w:pPr>
        <w:pStyle w:val="ListBullet"/>
      </w:pPr>
      <w:r>
        <w:rPr>
          <w:rFonts w:ascii="Calibri" w:hAnsi="Calibri"/>
          <w:b w:val="0"/>
          <w:i w:val="0"/>
          <w:color w:val="232323"/>
          <w:sz w:val="21"/>
        </w:rPr>
        <w:t>If the program ever expands to infants younger than 18 months, infant-specific policies, forms, equipment, safe-sleep practices, and caregiver training will be updated before enrollment and confirmed with CCR.</w:t>
      </w:r>
    </w:p>
    <w:p>
      <w:pPr>
        <w:pStyle w:val="Heading2"/>
        <w:spacing w:after="100"/>
      </w:pPr>
      <w:r>
        <w:rPr>
          <w:rFonts w:ascii="Calibri" w:hAnsi="Calibri"/>
          <w:b w:val="0"/>
          <w:i w:val="0"/>
          <w:color w:val="232323"/>
          <w:sz w:val="21"/>
        </w:rPr>
        <w:t>Animals</w:t>
      </w:r>
    </w:p>
    <w:p>
      <w:pPr>
        <w:pStyle w:val="ListBullet"/>
      </w:pPr>
      <w:r>
        <w:rPr>
          <w:rFonts w:ascii="Calibri" w:hAnsi="Calibri"/>
          <w:b w:val="0"/>
          <w:i w:val="0"/>
          <w:color w:val="232323"/>
          <w:sz w:val="21"/>
        </w:rPr>
        <w:t>Parents will be notified of any animals on the premises. Animals will be supervised, kept away from food preparation, and separated from children when needed for safety.</w:t>
      </w:r>
    </w:p>
    <w:p>
      <w:pPr>
        <w:pStyle w:val="ListBullet"/>
      </w:pPr>
      <w:r>
        <w:rPr>
          <w:rFonts w:ascii="Calibri" w:hAnsi="Calibri"/>
          <w:b w:val="0"/>
          <w:i w:val="0"/>
          <w:color w:val="232323"/>
          <w:sz w:val="21"/>
        </w:rPr>
        <w:t>Required vaccination documentation for pets will be maintained when applicable.</w:t>
      </w:r>
    </w:p>
    <w:p>
      <w:pPr>
        <w:pStyle w:val="ListBullet"/>
      </w:pPr>
      <w:r>
        <w:rPr>
          <w:rFonts w:ascii="Calibri" w:hAnsi="Calibri"/>
          <w:b w:val="0"/>
          <w:i w:val="0"/>
          <w:color w:val="232323"/>
          <w:sz w:val="21"/>
        </w:rPr>
        <w:t>Animals showing illness, aggression, or unsafe behavior will not be accessible to children.</w:t>
      </w:r>
    </w:p>
    <w:p>
      <w:pPr>
        <w:pStyle w:val="Heading2"/>
        <w:spacing w:after="100"/>
      </w:pPr>
      <w:r>
        <w:rPr>
          <w:rFonts w:ascii="Calibri" w:hAnsi="Calibri"/>
          <w:b w:val="0"/>
          <w:i w:val="0"/>
          <w:color w:val="232323"/>
          <w:sz w:val="21"/>
        </w:rPr>
        <w:t>Physical Activity</w:t>
      </w:r>
    </w:p>
    <w:p>
      <w:pPr>
        <w:pStyle w:val="ListBullet"/>
      </w:pPr>
      <w:r>
        <w:rPr>
          <w:rFonts w:ascii="Calibri" w:hAnsi="Calibri"/>
          <w:b w:val="0"/>
          <w:i w:val="0"/>
          <w:color w:val="232323"/>
          <w:sz w:val="21"/>
        </w:rPr>
        <w:t>Children will have daily opportunities for indoor and outdoor active play as weather, health, safety, and individual needs allow.</w:t>
      </w:r>
    </w:p>
    <w:p>
      <w:pPr>
        <w:pStyle w:val="ListBullet"/>
      </w:pPr>
      <w:r>
        <w:rPr>
          <w:rFonts w:ascii="Calibri" w:hAnsi="Calibri"/>
          <w:b w:val="0"/>
          <w:i w:val="0"/>
          <w:color w:val="232323"/>
          <w:sz w:val="21"/>
        </w:rPr>
        <w:t>Families should send children in clothing and footwear that permit running, climbing, crawling, art, sensory play, and outdoor movement.</w:t>
      </w:r>
    </w:p>
    <w:p>
      <w:pPr>
        <w:pStyle w:val="ListBullet"/>
      </w:pPr>
      <w:r>
        <w:rPr>
          <w:rFonts w:ascii="Calibri" w:hAnsi="Calibri"/>
          <w:b w:val="0"/>
          <w:i w:val="0"/>
          <w:color w:val="232323"/>
          <w:sz w:val="21"/>
        </w:rPr>
        <w:t>On days with extreme heat, cold, storms, poor air quality, or unsafe outdoor conditions, the provider will offer indoor gross-motor activities.</w:t>
      </w:r>
    </w:p>
    <w:p>
      <w:pPr>
        <w:pStyle w:val="Heading2"/>
        <w:spacing w:after="100"/>
      </w:pPr>
      <w:r>
        <w:rPr>
          <w:rFonts w:ascii="Calibri" w:hAnsi="Calibri"/>
          <w:b w:val="0"/>
          <w:i w:val="0"/>
          <w:color w:val="232323"/>
          <w:sz w:val="21"/>
        </w:rPr>
        <w:t>Parent Rights</w:t>
      </w:r>
    </w:p>
    <w:p>
      <w:pPr>
        <w:pStyle w:val="ListBullet"/>
      </w:pPr>
      <w:r>
        <w:rPr>
          <w:rFonts w:ascii="Calibri" w:hAnsi="Calibri"/>
          <w:b w:val="0"/>
          <w:i w:val="0"/>
          <w:color w:val="232323"/>
          <w:sz w:val="21"/>
        </w:rPr>
        <w:t>Parents may enter and examine the child-care home during hours of operation without advance notice.</w:t>
      </w:r>
    </w:p>
    <w:p>
      <w:pPr>
        <w:pStyle w:val="ListBullet"/>
      </w:pPr>
      <w:r>
        <w:rPr>
          <w:rFonts w:ascii="Calibri" w:hAnsi="Calibri"/>
          <w:b w:val="0"/>
          <w:i w:val="0"/>
          <w:color w:val="232323"/>
          <w:sz w:val="21"/>
        </w:rPr>
        <w:t>Parents may review publicly accessible records, their own child's record, staff training records upon request, HHSC inspection reports, and online compliance history information.</w:t>
      </w:r>
    </w:p>
    <w:p>
      <w:pPr>
        <w:pStyle w:val="ListBullet"/>
      </w:pPr>
      <w:r>
        <w:rPr>
          <w:rFonts w:ascii="Calibri" w:hAnsi="Calibri"/>
          <w:b w:val="0"/>
          <w:i w:val="0"/>
          <w:color w:val="232323"/>
          <w:sz w:val="21"/>
        </w:rPr>
        <w:t>Parents may file a complaint and will be free from retaliation for exercising parent rights.</w:t>
      </w:r>
    </w:p>
    <w:p>
      <w:pPr>
        <w:pStyle w:val="ListBullet"/>
      </w:pPr>
      <w:r>
        <w:rPr>
          <w:rFonts w:ascii="Calibri" w:hAnsi="Calibri"/>
          <w:b w:val="0"/>
          <w:i w:val="0"/>
          <w:color w:val="232323"/>
          <w:sz w:val="21"/>
        </w:rPr>
        <w:t>Parents may obtain a copy of operational policies and procedures.</w:t>
      </w:r>
    </w:p>
    <w:p>
      <w:pPr>
        <w:pStyle w:val="Heading2"/>
        <w:spacing w:after="100"/>
      </w:pPr>
      <w:r>
        <w:rPr>
          <w:rFonts w:ascii="Calibri" w:hAnsi="Calibri"/>
          <w:b w:val="0"/>
          <w:i w:val="0"/>
          <w:color w:val="232323"/>
          <w:sz w:val="21"/>
        </w:rPr>
        <w:t>Access to Standards, Hotline, and HHSC</w:t>
      </w:r>
    </w:p>
    <w:p>
      <w:pPr>
        <w:pStyle w:val="ListBullet"/>
      </w:pPr>
      <w:r>
        <w:rPr>
          <w:rFonts w:ascii="Calibri" w:hAnsi="Calibri"/>
          <w:b w:val="0"/>
          <w:i w:val="0"/>
          <w:color w:val="232323"/>
          <w:sz w:val="21"/>
        </w:rPr>
        <w:t>Minimum standards online: https://www.hhs.texas.gov/providers/protective-services-providers/child-care-regulation/minimum-standards</w:t>
      </w:r>
    </w:p>
    <w:p>
      <w:pPr>
        <w:pStyle w:val="ListBullet"/>
      </w:pPr>
      <w:r>
        <w:rPr>
          <w:rFonts w:ascii="Calibri" w:hAnsi="Calibri"/>
          <w:b w:val="0"/>
          <w:i w:val="0"/>
          <w:color w:val="232323"/>
          <w:sz w:val="21"/>
        </w:rPr>
        <w:t>Search Texas Child Care and compliance history: https://childcare.hhs.texas.gov/</w:t>
      </w:r>
    </w:p>
    <w:p>
      <w:pPr>
        <w:pStyle w:val="ListBullet"/>
      </w:pPr>
      <w:r>
        <w:rPr>
          <w:rFonts w:ascii="Calibri" w:hAnsi="Calibri"/>
          <w:b w:val="0"/>
          <w:i w:val="0"/>
          <w:color w:val="232323"/>
          <w:sz w:val="21"/>
        </w:rPr>
        <w:t>Texas Abuse Hotline: 1-800-252-5400 or https://www.txabusehotline.org/</w:t>
      </w:r>
    </w:p>
    <w:p>
      <w:pPr>
        <w:pStyle w:val="ListBullet"/>
      </w:pPr>
      <w:r>
        <w:rPr>
          <w:rFonts w:ascii="Calibri" w:hAnsi="Calibri"/>
          <w:b w:val="0"/>
          <w:i w:val="0"/>
          <w:color w:val="232323"/>
          <w:sz w:val="21"/>
        </w:rPr>
        <w:t>Texas HHSC Child Care Regulation central office: 4601 W. Guadalupe St., Austin, TX 78751-3146; 512-424-6500.</w:t>
      </w:r>
    </w:p>
    <w:p>
      <w:pPr>
        <w:pStyle w:val="ListBullet"/>
      </w:pPr>
      <w:r>
        <w:rPr>
          <w:rFonts w:ascii="Calibri" w:hAnsi="Calibri"/>
          <w:b w:val="0"/>
          <w:i w:val="0"/>
          <w:color w:val="232323"/>
          <w:sz w:val="21"/>
        </w:rPr>
        <w:t>Fort Worth child-care licensing contact listed by the City of Fort Worth: 817-321-8604. Confirm local CCR office address and inspector contact after permit assignment.</w:t>
      </w:r>
    </w:p>
    <w:p>
      <w:pPr>
        <w:pStyle w:val="Heading2"/>
        <w:spacing w:after="100"/>
      </w:pPr>
      <w:r>
        <w:rPr>
          <w:rFonts w:ascii="Calibri" w:hAnsi="Calibri"/>
          <w:b w:val="0"/>
          <w:i w:val="0"/>
          <w:color w:val="232323"/>
          <w:sz w:val="21"/>
        </w:rPr>
        <w:t>Emergency Preparedness</w:t>
      </w:r>
    </w:p>
    <w:p>
      <w:pPr>
        <w:pStyle w:val="ListBullet"/>
      </w:pPr>
      <w:r>
        <w:rPr>
          <w:rFonts w:ascii="Calibri" w:hAnsi="Calibri"/>
          <w:b w:val="0"/>
          <w:i w:val="0"/>
          <w:color w:val="232323"/>
          <w:sz w:val="21"/>
        </w:rPr>
        <w:t>The operation maintains a written emergency preparedness plan covering evacuation, relocation, sheltering, lock-down, communication, essential documents, ongoing care, and reunification.</w:t>
      </w:r>
    </w:p>
    <w:p>
      <w:pPr>
        <w:pStyle w:val="ListBullet"/>
      </w:pPr>
      <w:r>
        <w:rPr>
          <w:rFonts w:ascii="Calibri" w:hAnsi="Calibri"/>
          <w:b w:val="0"/>
          <w:i w:val="0"/>
          <w:color w:val="232323"/>
          <w:sz w:val="21"/>
        </w:rPr>
        <w:t>Emergency drills and safety inspections will be documented and retained with licensing records.</w:t>
      </w:r>
    </w:p>
    <w:p>
      <w:pPr>
        <w:pStyle w:val="ListBullet"/>
      </w:pPr>
      <w:r>
        <w:rPr>
          <w:rFonts w:ascii="Calibri" w:hAnsi="Calibri"/>
          <w:b w:val="0"/>
          <w:i w:val="0"/>
          <w:color w:val="232323"/>
          <w:sz w:val="21"/>
        </w:rPr>
        <w:t>Parents must keep emergency contact information current at all times.</w:t>
      </w:r>
    </w:p>
    <w:p>
      <w:pPr>
        <w:pStyle w:val="Heading2"/>
        <w:spacing w:after="100"/>
      </w:pPr>
      <w:r>
        <w:rPr>
          <w:rFonts w:ascii="Calibri" w:hAnsi="Calibri"/>
          <w:b w:val="0"/>
          <w:i w:val="0"/>
          <w:color w:val="232323"/>
          <w:sz w:val="21"/>
        </w:rPr>
        <w:t>Health Checks</w:t>
      </w:r>
    </w:p>
    <w:p>
      <w:pPr>
        <w:pStyle w:val="ListBullet"/>
      </w:pPr>
      <w:r>
        <w:rPr>
          <w:rFonts w:ascii="Calibri" w:hAnsi="Calibri"/>
          <w:b w:val="0"/>
          <w:i w:val="0"/>
          <w:color w:val="232323"/>
          <w:sz w:val="21"/>
        </w:rPr>
        <w:t>Health checks may be conducted when a child appears ill, has a known exposure, returns after illness, or when public health conditions require screening.</w:t>
      </w:r>
    </w:p>
    <w:p>
      <w:pPr>
        <w:pStyle w:val="ListBullet"/>
      </w:pPr>
      <w:r>
        <w:rPr>
          <w:rFonts w:ascii="Calibri" w:hAnsi="Calibri"/>
          <w:b w:val="0"/>
          <w:i w:val="0"/>
          <w:color w:val="232323"/>
          <w:sz w:val="21"/>
        </w:rPr>
        <w:t>Health checks may include observation of appearance, breathing, behavior, skin, temperature if needed, and parent-provided health information.</w:t>
      </w:r>
    </w:p>
    <w:p>
      <w:pPr>
        <w:pStyle w:val="Heading2"/>
        <w:spacing w:after="100"/>
      </w:pPr>
      <w:r>
        <w:rPr>
          <w:rFonts w:ascii="Calibri" w:hAnsi="Calibri"/>
          <w:b w:val="0"/>
          <w:i w:val="0"/>
          <w:color w:val="232323"/>
          <w:sz w:val="21"/>
        </w:rPr>
        <w:t>Vaccine-Preventable Disease Policy</w:t>
      </w:r>
    </w:p>
    <w:p>
      <w:pPr>
        <w:pStyle w:val="ListBullet"/>
      </w:pPr>
      <w:r>
        <w:rPr>
          <w:rFonts w:ascii="Calibri" w:hAnsi="Calibri"/>
          <w:b w:val="0"/>
          <w:i w:val="0"/>
          <w:color w:val="232323"/>
          <w:sz w:val="21"/>
        </w:rPr>
        <w:t>If the licensed child-care home is not located in the provider's own residence, the operation will maintain required information on vaccine-preventable diseases for employees.</w:t>
      </w:r>
    </w:p>
    <w:p>
      <w:pPr>
        <w:pStyle w:val="ListBullet"/>
      </w:pPr>
      <w:r>
        <w:rPr>
          <w:rFonts w:ascii="Calibri" w:hAnsi="Calibri"/>
          <w:b w:val="0"/>
          <w:i w:val="0"/>
          <w:color w:val="232323"/>
          <w:sz w:val="21"/>
        </w:rPr>
        <w:t>If this policy is not applicable because the home is located in the provider's own residence, keep this statement in the file and confirm with CCR.</w:t>
      </w:r>
    </w:p>
    <w:p>
      <w:pPr>
        <w:pStyle w:val="Heading2"/>
        <w:spacing w:after="100"/>
      </w:pPr>
      <w:r>
        <w:rPr>
          <w:rFonts w:ascii="Calibri" w:hAnsi="Calibri"/>
          <w:b w:val="0"/>
          <w:i w:val="0"/>
          <w:color w:val="232323"/>
          <w:sz w:val="21"/>
        </w:rPr>
        <w:t>Unassigned Epinephrine Auto-Injectors</w:t>
      </w:r>
    </w:p>
    <w:p>
      <w:pPr>
        <w:pStyle w:val="ListBullet"/>
      </w:pPr>
      <w:r>
        <w:rPr>
          <w:rFonts w:ascii="Calibri" w:hAnsi="Calibri"/>
          <w:b w:val="0"/>
          <w:i w:val="0"/>
          <w:color w:val="232323"/>
          <w:sz w:val="21"/>
        </w:rPr>
        <w:t>This operation does not maintain unassigned epinephrine auto-injectors unless a written policy is added and the operation complies with applicable Texas Department of State Health Services requirements.</w:t>
      </w:r>
    </w:p>
    <w:p>
      <w:pPr>
        <w:pStyle w:val="ListBullet"/>
      </w:pPr>
      <w:r>
        <w:rPr>
          <w:rFonts w:ascii="Calibri" w:hAnsi="Calibri"/>
          <w:b w:val="0"/>
          <w:i w:val="0"/>
          <w:color w:val="232323"/>
          <w:sz w:val="21"/>
        </w:rPr>
        <w:t>Child-specific epinephrine or allergy medication may be administered only according to the child's medical plan and medication authorization.</w:t>
      </w:r>
    </w:p>
    <w:p>
      <w:pPr>
        <w:pStyle w:val="Heading1"/>
        <w:spacing w:after="100"/>
      </w:pPr>
      <w:r>
        <w:rPr>
          <w:rFonts w:ascii="Calibri" w:hAnsi="Calibri"/>
          <w:b w:val="0"/>
          <w:i w:val="0"/>
          <w:color w:val="232323"/>
          <w:sz w:val="21"/>
        </w:rPr>
        <w:t>Christian Curriculum and Family Partnership</w:t>
      </w:r>
    </w:p>
    <w:p>
      <w:pPr>
        <w:pStyle w:val="ListBullet"/>
      </w:pPr>
      <w:r>
        <w:rPr>
          <w:rFonts w:ascii="Calibri" w:hAnsi="Calibri"/>
          <w:b w:val="0"/>
          <w:i w:val="0"/>
          <w:color w:val="232323"/>
          <w:sz w:val="21"/>
        </w:rPr>
        <w:t>The curriculum may include Bible stories, Christian music, prayer, creation-based nature learning, scripture memory in age-appropriate language, service projects, and character formation.</w:t>
      </w:r>
    </w:p>
    <w:p>
      <w:pPr>
        <w:pStyle w:val="ListBullet"/>
      </w:pPr>
      <w:r>
        <w:rPr>
          <w:rFonts w:ascii="Calibri" w:hAnsi="Calibri"/>
          <w:b w:val="0"/>
          <w:i w:val="0"/>
          <w:color w:val="232323"/>
          <w:sz w:val="21"/>
        </w:rPr>
        <w:t>Families may share traditions, family culture, and care preferences so the provider can support each child respectfully.</w:t>
      </w:r>
    </w:p>
    <w:p>
      <w:pPr>
        <w:pStyle w:val="ListBullet"/>
      </w:pPr>
      <w:r>
        <w:rPr>
          <w:rFonts w:ascii="Calibri" w:hAnsi="Calibri"/>
          <w:b w:val="0"/>
          <w:i w:val="0"/>
          <w:color w:val="232323"/>
          <w:sz w:val="21"/>
        </w:rPr>
        <w:t>Birthdays, holidays, and celebrations will be handled in a way that protects allergies, food safety, and family preferences.</w:t>
      </w:r>
    </w:p>
    <w:p>
      <w:pPr>
        <w:pStyle w:val="Heading1"/>
        <w:spacing w:after="100"/>
      </w:pPr>
      <w:r>
        <w:rPr>
          <w:rFonts w:ascii="Calibri" w:hAnsi="Calibri"/>
          <w:b w:val="0"/>
          <w:i w:val="0"/>
          <w:color w:val="232323"/>
          <w:sz w:val="21"/>
        </w:rPr>
        <w:t>Parent Acknowledgment</w:t>
      </w:r>
    </w:p>
    <w:p>
      <w:pPr>
        <w:spacing w:after="100"/>
      </w:pPr>
      <w:r>
        <w:rPr>
          <w:rFonts w:ascii="Calibri" w:hAnsi="Calibri"/>
          <w:b w:val="0"/>
          <w:i w:val="0"/>
          <w:color w:val="232323"/>
          <w:sz w:val="21"/>
        </w:rPr>
        <w:t>I acknowledge that I received, reviewed, and had the opportunity to ask questions about the Wild Arrow Play School Parent Handbook and Operational Policies.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3120"/>
        <w:gridCol w:w="3120"/>
        <w:gridCol w:w="3120"/>
      </w:tblGrid>
      <w:tr>
        <w:trPr>
          <w:cantSplit/>
        </w:trPr>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Parent/Guardian Signature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Printed Name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Date</w:t>
              <w:br/>
              <w:br/>
            </w:r>
          </w:p>
        </w:tc>
      </w:tr>
    </w:tbl>
    <w:p>
      <w:pPr>
        <w:spacing w:after="100"/>
      </w:pPr>
    </w:p>
    <w:sectPr w:rsidR="00FC693F" w:rsidRPr="0006063C" w:rsidSect="00034616">
      <w:headerReference w:type="default" r:id="rId9"/>
      <w:footerReference w:type="default" r:id="rId10"/>
      <w:pgSz w:w="12240" w:h="15840"/>
      <w:pgMar w:top="1224" w:right="1224" w:bottom="1080"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55555"/>
        <w:sz w:val="16"/>
      </w:rPr>
      <w:t>504 Cold Mountain Trail, Fort Worth, Texas 76131 | 682-230-3325 | audriegaucin@outlook.com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80"/>
      <w:jc w:val="left"/>
      <w:tblLayout w:type="fixed"/>
      <w:tblLook w:firstColumn="1" w:firstRow="1" w:lastColumn="0" w:lastRow="0" w:noHBand="0" w:noVBand="1" w:val="04A0"/>
    </w:tblPr>
    <w:tblGrid>
      <w:gridCol w:w="1100"/>
      <w:gridCol w:w="8280"/>
    </w:tblGrid>
    <w:tr>
      <w:trPr>
        <w:cantSplit/>
      </w:trPr>
      <w:tc>
        <w:tcPr>
          <w:tcW w:type="dxa" w:w="1100"/>
          <w:vAlign w:val="center"/>
          <w:tcMar>
            <w:top w:w="90" w:type="dxa"/>
            <w:start w:w="120" w:type="dxa"/>
            <w:bottom w:w="90" w:type="dxa"/>
            <w:end w:w="120" w:type="dxa"/>
          </w:tcMar>
        </w:tcPr>
        <w:p>
          <w:pPr>
            <w:jc w:val="left"/>
          </w:pPr>
          <w:r>
            <w:drawing>
              <wp:inline xmlns:a="http://schemas.openxmlformats.org/drawingml/2006/main" xmlns:pic="http://schemas.openxmlformats.org/drawingml/2006/picture">
                <wp:extent cx="530352" cy="530352"/>
                <wp:docPr id="1" name="Picture 1"/>
                <wp:cNvGraphicFramePr>
                  <a:graphicFrameLocks noChangeAspect="1"/>
                </wp:cNvGraphicFramePr>
                <a:graphic>
                  <a:graphicData uri="http://schemas.openxmlformats.org/drawingml/2006/picture">
                    <pic:pic>
                      <pic:nvPicPr>
                        <pic:cNvPr id="0" name="Audrie.png"/>
                        <pic:cNvPicPr/>
                      </pic:nvPicPr>
                      <pic:blipFill>
                        <a:blip r:embed="rId1"/>
                        <a:stretch>
                          <a:fillRect/>
                        </a:stretch>
                      </pic:blipFill>
                      <pic:spPr>
                        <a:xfrm>
                          <a:off x="0" y="0"/>
                          <a:ext cx="530352" cy="530352"/>
                        </a:xfrm>
                        <a:prstGeom prst="rect"/>
                      </pic:spPr>
                    </pic:pic>
                  </a:graphicData>
                </a:graphic>
              </wp:inline>
            </w:drawing>
          </w:r>
        </w:p>
      </w:tc>
      <w:tc>
        <w:tcPr>
          <w:tcW w:type="dxa" w:w="8280"/>
          <w:vAlign w:val="center"/>
          <w:tcMar>
            <w:top w:w="90" w:type="dxa"/>
            <w:start w:w="120" w:type="dxa"/>
            <w:bottom w:w="90" w:type="dxa"/>
            <w:end w:w="120" w:type="dxa"/>
          </w:tcMar>
        </w:tcPr>
        <w:p>
          <w:pPr>
            <w:jc w:val="right"/>
          </w:pPr>
          <w:r>
            <w:rPr>
              <w:rFonts w:ascii="Calibri" w:hAnsi="Calibri"/>
              <w:b/>
              <w:i w:val="0"/>
              <w:color w:val="5B3A1A"/>
              <w:sz w:val="17"/>
            </w:rPr>
            <w:t>Wild Arrow Play School | Parent Handbook</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Calibri" w:hAnsi="Calibri"/>
      <w:color w:val="23232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Calibri" w:hAnsi="Calibri"/>
      <w:b/>
      <w:bCs/>
      <w:color w:val="5B3A1A"/>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Calibri" w:hAnsi="Calibri"/>
      <w:b/>
      <w:bCs/>
      <w:color w:val="6D7B6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5B3A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69" w:lineRule="auto"/>
      <w:ind w:left="518" w:hanging="259"/>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69" w:lineRule="auto"/>
      <w:ind w:left="518" w:hanging="259"/>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